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616" w:rsidRPr="00E30BC9" w:rsidRDefault="00E30BC9" w:rsidP="00E30BC9">
      <w:pPr>
        <w:jc w:val="center"/>
        <w:rPr>
          <w:b/>
          <w:sz w:val="36"/>
          <w:szCs w:val="36"/>
        </w:rPr>
      </w:pPr>
      <w:r w:rsidRPr="00E30BC9">
        <w:rPr>
          <w:b/>
          <w:sz w:val="36"/>
          <w:szCs w:val="36"/>
        </w:rPr>
        <w:t>编制说明</w:t>
      </w:r>
    </w:p>
    <w:p w:rsidR="00E30BC9" w:rsidRDefault="000F5ED0" w:rsidP="005E2977">
      <w:pPr>
        <w:spacing w:line="360" w:lineRule="auto"/>
      </w:pPr>
      <w:r>
        <w:t>项目名称：</w:t>
      </w:r>
      <w:r w:rsidRPr="000F5ED0">
        <w:rPr>
          <w:rFonts w:hint="eastAsia"/>
        </w:rPr>
        <w:t>温州永嘉雅林地块建设项目（未来社区）</w:t>
      </w:r>
      <w:r w:rsidRPr="000F5ED0">
        <w:rPr>
          <w:rFonts w:hint="eastAsia"/>
        </w:rPr>
        <w:t>EPC</w:t>
      </w:r>
      <w:r w:rsidRPr="000F5ED0">
        <w:rPr>
          <w:rFonts w:hint="eastAsia"/>
        </w:rPr>
        <w:t>项目</w:t>
      </w:r>
      <w:r w:rsidRPr="000F5ED0">
        <w:rPr>
          <w:rFonts w:hint="eastAsia"/>
        </w:rPr>
        <w:t>-</w:t>
      </w:r>
      <w:r w:rsidRPr="000F5ED0">
        <w:rPr>
          <w:rFonts w:hint="eastAsia"/>
        </w:rPr>
        <w:t>智能化</w:t>
      </w:r>
      <w:r w:rsidR="001E07F8">
        <w:rPr>
          <w:rFonts w:hint="eastAsia"/>
        </w:rPr>
        <w:t>、</w:t>
      </w:r>
      <w:r w:rsidRPr="000F5ED0">
        <w:rPr>
          <w:rFonts w:hint="eastAsia"/>
        </w:rPr>
        <w:t>数字化工程</w:t>
      </w:r>
      <w:r w:rsidR="001E07F8">
        <w:rPr>
          <w:rFonts w:hint="eastAsia"/>
        </w:rPr>
        <w:t>劳务分包</w:t>
      </w:r>
      <w:bookmarkStart w:id="0" w:name="_GoBack"/>
      <w:bookmarkEnd w:id="0"/>
    </w:p>
    <w:tbl>
      <w:tblPr>
        <w:tblStyle w:val="a5"/>
        <w:tblW w:w="9356" w:type="dxa"/>
        <w:tblInd w:w="-289" w:type="dxa"/>
        <w:tblLook w:val="04A0" w:firstRow="1" w:lastRow="0" w:firstColumn="1" w:lastColumn="0" w:noHBand="0" w:noVBand="1"/>
      </w:tblPr>
      <w:tblGrid>
        <w:gridCol w:w="9356"/>
      </w:tblGrid>
      <w:tr w:rsidR="000F5ED0" w:rsidTr="00341667">
        <w:trPr>
          <w:trHeight w:val="12804"/>
        </w:trPr>
        <w:tc>
          <w:tcPr>
            <w:tcW w:w="9356" w:type="dxa"/>
          </w:tcPr>
          <w:p w:rsidR="000F5ED0" w:rsidRDefault="000F5ED0" w:rsidP="005E297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</w:pPr>
            <w:r>
              <w:t>项目概况</w:t>
            </w:r>
          </w:p>
          <w:p w:rsidR="000F5ED0" w:rsidRDefault="000F5ED0" w:rsidP="005E2977">
            <w:pPr>
              <w:spacing w:line="360" w:lineRule="auto"/>
              <w:ind w:firstLineChars="200" w:firstLine="420"/>
              <w:rPr>
                <w:sz w:val="28"/>
                <w:szCs w:val="28"/>
              </w:rPr>
            </w:pPr>
            <w:r>
              <w:rPr>
                <w:rFonts w:ascii="宋体" w:hAnsi="宋体" w:cs="MingLiU" w:hint="eastAsia"/>
                <w:kern w:val="0"/>
                <w:szCs w:val="21"/>
              </w:rPr>
              <w:t>建设地点：</w:t>
            </w:r>
            <w:r>
              <w:rPr>
                <w:rFonts w:ascii="宋体" w:hAnsi="宋体" w:cs="宋体" w:hint="eastAsia"/>
                <w:szCs w:val="21"/>
              </w:rPr>
              <w:t>该工程位于永嘉县黄田街道，场地北侧为金工东路，东侧为环江路，南侧隔城市绿地为站南大道，西侧隔城市绿地为金水路。</w:t>
            </w:r>
          </w:p>
          <w:p w:rsidR="000F5ED0" w:rsidRDefault="000F5ED0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MingLiU" w:hint="eastAsia"/>
                <w:kern w:val="0"/>
                <w:szCs w:val="21"/>
              </w:rPr>
              <w:t>建设规模：</w:t>
            </w:r>
            <w:r>
              <w:rPr>
                <w:rFonts w:ascii="宋体" w:hAnsi="宋体" w:cs="宋体" w:hint="eastAsia"/>
                <w:szCs w:val="21"/>
              </w:rPr>
              <w:t>本项目建设用地内总建筑面积约5</w:t>
            </w:r>
            <w:r>
              <w:rPr>
                <w:rFonts w:ascii="宋体" w:hAnsi="宋体" w:cs="宋体"/>
                <w:szCs w:val="21"/>
              </w:rPr>
              <w:t>48965.57</w:t>
            </w:r>
            <w:r>
              <w:rPr>
                <w:rFonts w:ascii="宋体" w:hAnsi="宋体" w:cs="宋体" w:hint="eastAsia"/>
                <w:szCs w:val="21"/>
              </w:rPr>
              <w:t>平方米，其中地上建筑面积约</w:t>
            </w:r>
            <w:r>
              <w:rPr>
                <w:rFonts w:ascii="宋体" w:hAnsi="宋体" w:cs="宋体"/>
                <w:szCs w:val="21"/>
              </w:rPr>
              <w:t>355150.11</w:t>
            </w:r>
            <w:r>
              <w:rPr>
                <w:rFonts w:ascii="宋体" w:hAnsi="宋体" w:cs="宋体" w:hint="eastAsia"/>
                <w:szCs w:val="21"/>
              </w:rPr>
              <w:t>平方米，地下建筑面积约</w:t>
            </w:r>
            <w:r>
              <w:rPr>
                <w:rFonts w:ascii="宋体" w:hAnsi="宋体" w:cs="宋体"/>
                <w:szCs w:val="21"/>
              </w:rPr>
              <w:t>190161.83</w:t>
            </w:r>
            <w:r>
              <w:rPr>
                <w:rFonts w:ascii="宋体" w:hAnsi="宋体" w:cs="宋体" w:hint="eastAsia"/>
                <w:szCs w:val="21"/>
              </w:rPr>
              <w:t>平方米；另外跨市政道路建筑面积约3639.46平方米。</w:t>
            </w:r>
          </w:p>
          <w:p w:rsidR="000F5ED0" w:rsidRDefault="000F5ED0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地上建筑建设内容包括住宅（含安置住宅、人才住宅、人才公寓），幼儿园，商业综合体，双创办公、指挥中心、展厅、数据中心、社区服务中心、卫生服务站、养老中心、城市书房、共享书屋、健康小屋、空中花园等九大场景建筑空间及公共设施用房。</w:t>
            </w:r>
          </w:p>
          <w:p w:rsidR="000F5ED0" w:rsidRPr="000F5ED0" w:rsidRDefault="000F5ED0" w:rsidP="005E297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 w:rsidRPr="000F5ED0">
              <w:rPr>
                <w:rFonts w:ascii="宋体" w:hAnsi="宋体" w:cs="宋体"/>
                <w:szCs w:val="21"/>
              </w:rPr>
              <w:t>招标内容</w:t>
            </w:r>
          </w:p>
          <w:p w:rsidR="000F5ED0" w:rsidRPr="000F5ED0" w:rsidRDefault="00055767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包括但不限于</w:t>
            </w:r>
            <w:r w:rsidR="000F5ED0">
              <w:rPr>
                <w:rFonts w:ascii="宋体" w:hAnsi="宋体" w:cs="宋体"/>
                <w:szCs w:val="21"/>
              </w:rPr>
              <w:t>招标人承包范围内</w:t>
            </w:r>
            <w:r w:rsidR="00FF3F60">
              <w:rPr>
                <w:rFonts w:ascii="宋体" w:hAnsi="宋体" w:cs="宋体"/>
                <w:szCs w:val="21"/>
              </w:rPr>
              <w:t>（除</w:t>
            </w:r>
            <w:r w:rsidR="00FF3F60" w:rsidRPr="00FF3F60">
              <w:rPr>
                <w:rFonts w:ascii="宋体" w:hAnsi="宋体" w:cs="宋体"/>
                <w:szCs w:val="21"/>
              </w:rPr>
              <w:t>数据中心和道路交通工程外</w:t>
            </w:r>
            <w:r w:rsidR="00FF3F60">
              <w:rPr>
                <w:rFonts w:ascii="宋体" w:hAnsi="宋体" w:cs="宋体"/>
                <w:szCs w:val="21"/>
              </w:rPr>
              <w:t>）</w:t>
            </w:r>
            <w:r w:rsidR="000F5ED0">
              <w:rPr>
                <w:rFonts w:ascii="宋体" w:hAnsi="宋体" w:cs="宋体"/>
                <w:szCs w:val="21"/>
              </w:rPr>
              <w:t>的</w:t>
            </w:r>
            <w:r w:rsidR="00FF3F60">
              <w:rPr>
                <w:rFonts w:ascii="宋体" w:hAnsi="宋体" w:cs="宋体"/>
                <w:szCs w:val="21"/>
              </w:rPr>
              <w:t>劳务施工</w:t>
            </w:r>
            <w:r w:rsidR="00FF3F60">
              <w:rPr>
                <w:rFonts w:ascii="宋体" w:hAnsi="宋体" w:cs="宋体" w:hint="eastAsia"/>
                <w:szCs w:val="21"/>
              </w:rPr>
              <w:t>、</w:t>
            </w:r>
            <w:r w:rsidR="00FF3F60">
              <w:rPr>
                <w:rFonts w:ascii="宋体" w:hAnsi="宋体" w:cs="宋体"/>
                <w:szCs w:val="21"/>
              </w:rPr>
              <w:t>施工辅材（包括但不限于</w:t>
            </w:r>
            <w:r w:rsidR="00FF3F60">
              <w:rPr>
                <w:rFonts w:ascii="宋体" w:hAnsi="宋体" w:cs="宋体" w:hint="eastAsia"/>
                <w:szCs w:val="21"/>
              </w:rPr>
              <w:t>混凝土、螺栓</w:t>
            </w:r>
            <w:r w:rsidR="00FF3F60">
              <w:rPr>
                <w:rFonts w:ascii="宋体" w:hAnsi="宋体" w:cs="宋体"/>
                <w:szCs w:val="21"/>
              </w:rPr>
              <w:t>、胶布、扎带、管子接头、卡</w:t>
            </w:r>
            <w:r w:rsidR="00FF3F60">
              <w:rPr>
                <w:rFonts w:ascii="宋体" w:hAnsi="宋体" w:cs="宋体" w:hint="eastAsia"/>
                <w:szCs w:val="21"/>
              </w:rPr>
              <w:t>子</w:t>
            </w:r>
            <w:r w:rsidR="00FF3F60">
              <w:rPr>
                <w:rFonts w:ascii="宋体" w:hAnsi="宋体" w:cs="宋体"/>
                <w:szCs w:val="21"/>
              </w:rPr>
              <w:t>等）、施工及设备安装调试用机具（包括但不限于</w:t>
            </w:r>
            <w:r w:rsidR="00FF3F60">
              <w:rPr>
                <w:rFonts w:ascii="宋体" w:hAnsi="宋体" w:cs="宋体" w:hint="eastAsia"/>
                <w:szCs w:val="21"/>
              </w:rPr>
              <w:t>F</w:t>
            </w:r>
            <w:r w:rsidR="00FF3F60">
              <w:rPr>
                <w:rFonts w:ascii="宋体" w:hAnsi="宋体" w:cs="宋体"/>
                <w:szCs w:val="21"/>
              </w:rPr>
              <w:t>LUKE测线仪、光纤熔接机、万用表、电钻等）、设备材料运输到现场的运输</w:t>
            </w:r>
            <w:r>
              <w:rPr>
                <w:rFonts w:ascii="宋体" w:hAnsi="宋体" w:cs="宋体" w:hint="eastAsia"/>
                <w:szCs w:val="21"/>
              </w:rPr>
              <w:t>费用</w:t>
            </w:r>
            <w:r w:rsidR="00FF3F60">
              <w:rPr>
                <w:rFonts w:ascii="宋体" w:hAnsi="宋体" w:cs="宋体"/>
                <w:szCs w:val="21"/>
              </w:rPr>
              <w:t>（招标人已发货至现场的除外）、</w:t>
            </w:r>
            <w:r w:rsidR="005E2977">
              <w:rPr>
                <w:rFonts w:ascii="宋体" w:hAnsi="宋体" w:cs="宋体"/>
                <w:szCs w:val="21"/>
              </w:rPr>
              <w:t>成品保护费、</w:t>
            </w:r>
            <w:r>
              <w:rPr>
                <w:rFonts w:ascii="宋体" w:hAnsi="宋体" w:cs="宋体"/>
                <w:szCs w:val="21"/>
              </w:rPr>
              <w:t>安全文明施工费、二次搬运费、冬雨季施工增加费、企业管理费、利润、税金等。</w:t>
            </w:r>
          </w:p>
          <w:p w:rsidR="000F5ED0" w:rsidRDefault="000F5ED0" w:rsidP="005E297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</w:pPr>
            <w:r>
              <w:t>编制依据</w:t>
            </w:r>
          </w:p>
          <w:p w:rsidR="00FA451C" w:rsidRPr="00FA451C" w:rsidRDefault="00FA451C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FA451C">
              <w:rPr>
                <w:rFonts w:ascii="宋体" w:hAnsi="宋体" w:cs="宋体" w:hint="eastAsia"/>
                <w:szCs w:val="21"/>
              </w:rPr>
              <w:t>1、施工图纸及相关资料。</w:t>
            </w:r>
          </w:p>
          <w:p w:rsidR="00FA451C" w:rsidRPr="00FA451C" w:rsidRDefault="00FA451C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FA451C">
              <w:rPr>
                <w:rFonts w:ascii="宋体" w:hAnsi="宋体" w:cs="宋体" w:hint="eastAsia"/>
                <w:szCs w:val="21"/>
              </w:rPr>
              <w:t>2、《建设工程工程量清单计价规范》（GB50500-2013）、《浙江省建设工程计价规则》（2018版）、《浙江省建设工程施工机械台班费用定额》（2018版）、《浙江省房屋建筑与装饰工程预算定额》（2018版）、《浙江省通用安装工程预算定额》（2018版）以及其它工程造价补充规定和技术规范。</w:t>
            </w:r>
          </w:p>
          <w:p w:rsidR="00FA451C" w:rsidRPr="00FA451C" w:rsidRDefault="00FA451C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FA451C">
              <w:rPr>
                <w:rFonts w:ascii="宋体" w:hAnsi="宋体" w:cs="宋体" w:hint="eastAsia"/>
                <w:szCs w:val="21"/>
              </w:rPr>
              <w:t>3、工程施工取费费率依据《浙江省建设工程计价规则》（2018版）、税金按</w:t>
            </w: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%计取</w:t>
            </w:r>
            <w:r w:rsidRPr="00FA451C">
              <w:rPr>
                <w:rFonts w:ascii="宋体" w:hAnsi="宋体" w:cs="宋体" w:hint="eastAsia"/>
                <w:szCs w:val="21"/>
              </w:rPr>
              <w:t>。</w:t>
            </w:r>
          </w:p>
          <w:p w:rsidR="00055767" w:rsidRDefault="00FA451C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FA451C">
              <w:rPr>
                <w:rFonts w:ascii="宋体" w:hAnsi="宋体" w:cs="宋体" w:hint="eastAsia"/>
                <w:szCs w:val="21"/>
              </w:rPr>
              <w:t>4、</w:t>
            </w:r>
            <w:r>
              <w:rPr>
                <w:rFonts w:ascii="宋体" w:hAnsi="宋体" w:cs="宋体" w:hint="eastAsia"/>
                <w:szCs w:val="21"/>
              </w:rPr>
              <w:t>人</w:t>
            </w:r>
            <w:r>
              <w:rPr>
                <w:rFonts w:ascii="宋体" w:hAnsi="宋体" w:cs="宋体"/>
                <w:szCs w:val="21"/>
              </w:rPr>
              <w:t>工</w:t>
            </w:r>
            <w:r w:rsidRPr="00FA451C">
              <w:rPr>
                <w:rFonts w:ascii="宋体" w:hAnsi="宋体" w:cs="宋体"/>
                <w:szCs w:val="21"/>
              </w:rPr>
              <w:t>单价根据《</w:t>
            </w:r>
            <w:r w:rsidR="008C387D">
              <w:rPr>
                <w:rFonts w:ascii="宋体" w:hAnsi="宋体" w:hint="eastAsia"/>
                <w:szCs w:val="21"/>
              </w:rPr>
              <w:t>永嘉县建材市场价格信息人工信息价</w:t>
            </w:r>
            <w:r w:rsidRPr="00FA451C">
              <w:rPr>
                <w:rFonts w:ascii="宋体" w:hAnsi="宋体" w:cs="宋体"/>
                <w:szCs w:val="21"/>
              </w:rPr>
              <w:t>》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020年5</w:t>
            </w:r>
            <w:r w:rsidRPr="00FA451C">
              <w:rPr>
                <w:rFonts w:ascii="宋体" w:hAnsi="宋体" w:cs="宋体"/>
                <w:szCs w:val="21"/>
              </w:rPr>
              <w:t>月</w:t>
            </w:r>
            <w:r>
              <w:rPr>
                <w:rFonts w:ascii="宋体" w:hAnsi="宋体" w:cs="宋体" w:hint="eastAsia"/>
                <w:szCs w:val="21"/>
              </w:rPr>
              <w:t>计</w:t>
            </w:r>
            <w:r>
              <w:rPr>
                <w:rFonts w:ascii="宋体" w:hAnsi="宋体" w:cs="宋体"/>
                <w:szCs w:val="21"/>
              </w:rPr>
              <w:t>取</w:t>
            </w:r>
            <w:r w:rsidRPr="00FA451C">
              <w:rPr>
                <w:rFonts w:ascii="宋体" w:hAnsi="宋体" w:cs="宋体" w:hint="eastAsia"/>
                <w:szCs w:val="21"/>
              </w:rPr>
              <w:t>。</w:t>
            </w:r>
          </w:p>
          <w:p w:rsidR="00FA451C" w:rsidRPr="00FA451C" w:rsidRDefault="00FA451C" w:rsidP="005E2977">
            <w:pPr>
              <w:spacing w:line="360" w:lineRule="auto"/>
              <w:ind w:firstLineChars="200" w:firstLine="420"/>
              <w:rPr>
                <w:rFonts w:ascii="宋体" w:hAnsi="宋体" w:cs="宋体"/>
                <w:szCs w:val="21"/>
              </w:rPr>
            </w:pPr>
            <w:r w:rsidRPr="00FA451C">
              <w:rPr>
                <w:rFonts w:ascii="宋体" w:hAnsi="宋体" w:cs="宋体" w:hint="eastAsia"/>
                <w:szCs w:val="21"/>
              </w:rPr>
              <w:t>5、</w:t>
            </w:r>
            <w:r w:rsidRPr="00FA451C">
              <w:rPr>
                <w:rFonts w:ascii="宋体" w:hAnsi="宋体" w:cs="宋体"/>
                <w:szCs w:val="21"/>
              </w:rPr>
              <w:t>计价方式：采用</w:t>
            </w:r>
            <w:r w:rsidRPr="00FA451C">
              <w:rPr>
                <w:rFonts w:ascii="宋体" w:hAnsi="宋体" w:cs="宋体" w:hint="eastAsia"/>
                <w:szCs w:val="21"/>
              </w:rPr>
              <w:t>综合</w:t>
            </w:r>
            <w:r w:rsidRPr="00FA451C">
              <w:rPr>
                <w:rFonts w:ascii="宋体" w:hAnsi="宋体" w:cs="宋体"/>
                <w:szCs w:val="21"/>
              </w:rPr>
              <w:t>单价</w:t>
            </w:r>
            <w:r w:rsidRPr="00FA451C">
              <w:rPr>
                <w:rFonts w:ascii="宋体" w:hAnsi="宋体" w:cs="宋体" w:hint="eastAsia"/>
                <w:szCs w:val="21"/>
              </w:rPr>
              <w:t>定额项目清单</w:t>
            </w:r>
            <w:r w:rsidRPr="00FA451C">
              <w:rPr>
                <w:rFonts w:ascii="宋体" w:hAnsi="宋体" w:cs="宋体"/>
                <w:szCs w:val="21"/>
              </w:rPr>
              <w:t>计价（一般计税法）</w:t>
            </w:r>
            <w:r w:rsidRPr="00FA451C">
              <w:rPr>
                <w:rFonts w:ascii="宋体" w:hAnsi="宋体" w:cs="宋体" w:hint="eastAsia"/>
                <w:szCs w:val="21"/>
              </w:rPr>
              <w:t>。</w:t>
            </w:r>
          </w:p>
          <w:p w:rsidR="000F5ED0" w:rsidRDefault="00FA451C" w:rsidP="005E2977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</w:pPr>
            <w:r>
              <w:rPr>
                <w:rFonts w:hint="eastAsia"/>
              </w:rPr>
              <w:t>编制说明</w:t>
            </w:r>
          </w:p>
          <w:p w:rsidR="00FA451C" w:rsidRDefault="00FA451C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rPr>
                <w:rFonts w:hint="eastAsia"/>
              </w:rPr>
              <w:t>本次招标工程量清单为暂定工程量，待施工图审查完成、施工图审查确定后的工程量清单为结算依据；</w:t>
            </w:r>
          </w:p>
          <w:p w:rsidR="00FA451C" w:rsidRDefault="00FA451C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t>本次招标为综合单价</w:t>
            </w:r>
            <w:proofErr w:type="gramStart"/>
            <w:r>
              <w:t>下浮率</w:t>
            </w:r>
            <w:proofErr w:type="gramEnd"/>
            <w:r>
              <w:t>招标，中标人以审计后的综合单</w:t>
            </w:r>
            <w:r w:rsidR="002470DA">
              <w:rPr>
                <w:rFonts w:hint="eastAsia"/>
              </w:rPr>
              <w:t>价</w:t>
            </w:r>
            <w:r>
              <w:rPr>
                <w:rFonts w:hint="eastAsia"/>
              </w:rPr>
              <w:t>（扣</w:t>
            </w:r>
            <w:r w:rsidR="00341667">
              <w:rPr>
                <w:rFonts w:hint="eastAsia"/>
              </w:rPr>
              <w:t>除</w:t>
            </w:r>
            <w:r w:rsidR="002470DA">
              <w:rPr>
                <w:rFonts w:hint="eastAsia"/>
              </w:rPr>
              <w:t>相应费率后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-</w:t>
            </w:r>
            <w:r w:rsidR="000972CE">
              <w:t>下浮率</w:t>
            </w:r>
            <w:r>
              <w:rPr>
                <w:rFonts w:hint="eastAsia"/>
              </w:rPr>
              <w:t>）</w:t>
            </w:r>
            <w:r w:rsidR="000972CE">
              <w:rPr>
                <w:rFonts w:hint="eastAsia"/>
              </w:rPr>
              <w:t>；</w:t>
            </w:r>
          </w:p>
          <w:p w:rsidR="000972CE" w:rsidRDefault="000972CE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lastRenderedPageBreak/>
              <w:t>人工</w:t>
            </w:r>
            <w:r>
              <w:rPr>
                <w:rFonts w:hint="eastAsia"/>
              </w:rPr>
              <w:t>动</w:t>
            </w:r>
            <w:r>
              <w:t>态管理办法：</w:t>
            </w:r>
          </w:p>
          <w:p w:rsidR="000972CE" w:rsidRDefault="000972CE" w:rsidP="005E297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人工动态按材料动态形象进度表施工节点，采用抽料补差法计取价差。</w:t>
            </w:r>
          </w:p>
          <w:p w:rsidR="000972CE" w:rsidRDefault="000972CE" w:rsidP="005E297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计算公式：人工费价差=∑（形象进度施工期间人工市场信息价平均值－基准人工市场信息价）×形象进度施工期间已完工程现行定额人工消耗量（分Ⅰ、Ⅱ、Ⅲ类人工）</w:t>
            </w:r>
          </w:p>
          <w:p w:rsidR="000972CE" w:rsidRDefault="000972CE" w:rsidP="005E297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基准人工市场信息价是2</w:t>
            </w:r>
            <w:r>
              <w:rPr>
                <w:rFonts w:ascii="宋体" w:hAnsi="宋体"/>
                <w:szCs w:val="21"/>
              </w:rPr>
              <w:t>020年</w:t>
            </w:r>
            <w:r>
              <w:rPr>
                <w:rFonts w:ascii="宋体" w:hAnsi="宋体" w:hint="eastAsia"/>
                <w:szCs w:val="21"/>
              </w:rPr>
              <w:t>5月的永嘉县建材市场价格信息人工信息价。</w:t>
            </w:r>
          </w:p>
          <w:p w:rsidR="000972CE" w:rsidRDefault="000972CE" w:rsidP="005E297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根据施工形象进度，确认当期已完工程现行定额人工消耗量。</w:t>
            </w:r>
          </w:p>
          <w:p w:rsidR="000972CE" w:rsidRDefault="000972CE" w:rsidP="005E297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人工费动态</w:t>
            </w:r>
            <w:proofErr w:type="gramStart"/>
            <w:r>
              <w:rPr>
                <w:rFonts w:ascii="宋体" w:hAnsi="宋体" w:hint="eastAsia"/>
                <w:szCs w:val="21"/>
              </w:rPr>
              <w:t>调整额经监理</w:t>
            </w:r>
            <w:proofErr w:type="gramEnd"/>
            <w:r>
              <w:rPr>
                <w:rFonts w:ascii="宋体" w:hAnsi="宋体" w:hint="eastAsia"/>
                <w:szCs w:val="21"/>
              </w:rPr>
              <w:t>审核报送发包人批准后，在进度款中同期同比例支付或扣回价差款。</w:t>
            </w:r>
          </w:p>
          <w:p w:rsidR="000972CE" w:rsidRDefault="00A9330F" w:rsidP="005E2977">
            <w:pPr>
              <w:spacing w:line="360" w:lineRule="auto"/>
              <w:ind w:firstLineChars="200" w:firstLine="422"/>
              <w:rPr>
                <w:b/>
              </w:rPr>
            </w:pPr>
            <w:r w:rsidRPr="00A9330F">
              <w:rPr>
                <w:rFonts w:ascii="宋体" w:hAnsi="宋体" w:hint="eastAsia"/>
                <w:b/>
                <w:szCs w:val="21"/>
              </w:rPr>
              <w:t>人工</w:t>
            </w:r>
            <w:proofErr w:type="gramStart"/>
            <w:r w:rsidRPr="00A9330F">
              <w:rPr>
                <w:rFonts w:ascii="宋体" w:hAnsi="宋体" w:hint="eastAsia"/>
                <w:b/>
                <w:szCs w:val="21"/>
              </w:rPr>
              <w:t>调差支付</w:t>
            </w:r>
            <w:proofErr w:type="gramEnd"/>
            <w:r w:rsidRPr="00A9330F">
              <w:rPr>
                <w:rFonts w:ascii="宋体" w:hAnsi="宋体" w:hint="eastAsia"/>
                <w:b/>
                <w:szCs w:val="21"/>
              </w:rPr>
              <w:t>计算方法：工程量清单人工工日总数（</w:t>
            </w:r>
            <w:proofErr w:type="gramStart"/>
            <w:r w:rsidRPr="00A9330F">
              <w:rPr>
                <w:rFonts w:ascii="宋体" w:hAnsi="宋体" w:hint="eastAsia"/>
                <w:b/>
                <w:szCs w:val="21"/>
              </w:rPr>
              <w:t>调差范围</w:t>
            </w:r>
            <w:proofErr w:type="gramEnd"/>
            <w:r w:rsidRPr="00A9330F">
              <w:rPr>
                <w:rFonts w:ascii="宋体" w:hAnsi="宋体" w:hint="eastAsia"/>
                <w:b/>
                <w:szCs w:val="21"/>
              </w:rPr>
              <w:t>内）*人工费价差*</w:t>
            </w:r>
            <w:r w:rsidRPr="00A9330F">
              <w:rPr>
                <w:rFonts w:hint="eastAsia"/>
                <w:b/>
              </w:rPr>
              <w:t>（</w:t>
            </w:r>
            <w:r w:rsidRPr="00A9330F">
              <w:rPr>
                <w:rFonts w:hint="eastAsia"/>
                <w:b/>
              </w:rPr>
              <w:t>1</w:t>
            </w:r>
            <w:r w:rsidRPr="00A9330F">
              <w:rPr>
                <w:b/>
              </w:rPr>
              <w:t>-</w:t>
            </w:r>
            <w:r w:rsidRPr="00A9330F">
              <w:rPr>
                <w:b/>
              </w:rPr>
              <w:t>下浮率</w:t>
            </w:r>
            <w:r w:rsidRPr="00A9330F">
              <w:rPr>
                <w:rFonts w:hint="eastAsia"/>
                <w:b/>
              </w:rPr>
              <w:t>）。</w:t>
            </w:r>
          </w:p>
          <w:p w:rsidR="00A9330F" w:rsidRDefault="00A9330F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 w:rsidRPr="00A9330F">
              <w:rPr>
                <w:rFonts w:hint="eastAsia"/>
              </w:rPr>
              <w:t>除人工</w:t>
            </w:r>
            <w:proofErr w:type="gramStart"/>
            <w:r w:rsidRPr="00A9330F">
              <w:rPr>
                <w:rFonts w:hint="eastAsia"/>
              </w:rPr>
              <w:t>动态调差外</w:t>
            </w:r>
            <w:proofErr w:type="gramEnd"/>
            <w:r w:rsidRPr="00A9330F">
              <w:rPr>
                <w:rFonts w:hint="eastAsia"/>
              </w:rPr>
              <w:t>，</w:t>
            </w:r>
            <w:r w:rsidR="00DE732C">
              <w:rPr>
                <w:rFonts w:hint="eastAsia"/>
              </w:rPr>
              <w:t>其余费用（包括但不限于</w:t>
            </w:r>
            <w:r w:rsidRPr="00A9330F">
              <w:rPr>
                <w:rFonts w:hint="eastAsia"/>
              </w:rPr>
              <w:t>施工辅材、施工机具</w:t>
            </w:r>
            <w:r w:rsidR="00DE732C">
              <w:rPr>
                <w:rFonts w:hint="eastAsia"/>
              </w:rPr>
              <w:t>）</w:t>
            </w:r>
            <w:r w:rsidRPr="00A9330F">
              <w:rPr>
                <w:rFonts w:hint="eastAsia"/>
              </w:rPr>
              <w:t>不作调整。</w:t>
            </w:r>
          </w:p>
          <w:p w:rsidR="00DE732C" w:rsidRDefault="00DE732C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t>如需中标人提供主材供货，另行协商确定。</w:t>
            </w:r>
          </w:p>
          <w:p w:rsidR="00E2028E" w:rsidRDefault="00E2028E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t>招标人有权对招标施工范围进行调整（</w:t>
            </w:r>
            <w:r w:rsidR="008C387D">
              <w:t>设备供应商包安装、由招标人自行负责安装调试等</w:t>
            </w:r>
            <w:r>
              <w:t>），调整部分相应合同费用按实调增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调减</w:t>
            </w:r>
            <w:r w:rsidR="008C387D">
              <w:rPr>
                <w:rFonts w:hint="eastAsia"/>
              </w:rPr>
              <w:t>。</w:t>
            </w:r>
          </w:p>
          <w:p w:rsidR="001E099F" w:rsidRDefault="001E099F" w:rsidP="005E2977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</w:pPr>
            <w:r>
              <w:t>计价费率如下：</w:t>
            </w:r>
          </w:p>
          <w:tbl>
            <w:tblPr>
              <w:tblStyle w:val="a5"/>
              <w:tblW w:w="0" w:type="auto"/>
              <w:tblInd w:w="875" w:type="dxa"/>
              <w:tblLook w:val="04A0" w:firstRow="1" w:lastRow="0" w:firstColumn="1" w:lastColumn="0" w:noHBand="0" w:noVBand="1"/>
            </w:tblPr>
            <w:tblGrid>
              <w:gridCol w:w="709"/>
              <w:gridCol w:w="2835"/>
              <w:gridCol w:w="1701"/>
            </w:tblGrid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序号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项目名称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费率（</w:t>
                  </w:r>
                  <w:r>
                    <w:rPr>
                      <w:rFonts w:hint="eastAsia"/>
                    </w:rPr>
                    <w:t>%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企业管理费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利润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施工组织措施项目费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t>3.1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安全文明施工基本费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t>.2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提前竣工增加费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t>.3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二次搬运费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t>.4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冬雨季施工增加费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t>.5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行车、行人干扰增加费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t>.6</w:t>
                  </w:r>
                </w:p>
              </w:tc>
              <w:tc>
                <w:tcPr>
                  <w:tcW w:w="2835" w:type="dxa"/>
                </w:tcPr>
                <w:p w:rsidR="001E099F" w:rsidRP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其他施工组织措施费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规</w:t>
                  </w:r>
                  <w:proofErr w:type="gramEnd"/>
                  <w:r>
                    <w:rPr>
                      <w:rFonts w:hint="eastAsia"/>
                    </w:rPr>
                    <w:t>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税金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6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标化工地增加费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  <w:tr w:rsidR="001E099F" w:rsidTr="001E099F">
              <w:tc>
                <w:tcPr>
                  <w:tcW w:w="709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:rsidR="001E099F" w:rsidRP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 w:rsidRPr="001E099F">
                    <w:rPr>
                      <w:rFonts w:hint="eastAsia"/>
                    </w:rPr>
                    <w:t>优质工程增加费</w:t>
                  </w:r>
                </w:p>
              </w:tc>
              <w:tc>
                <w:tcPr>
                  <w:tcW w:w="1701" w:type="dxa"/>
                </w:tcPr>
                <w:p w:rsidR="001E099F" w:rsidRDefault="001E099F" w:rsidP="005E2977">
                  <w:pPr>
                    <w:pStyle w:val="a6"/>
                    <w:spacing w:line="360" w:lineRule="auto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</w:tr>
          </w:tbl>
          <w:p w:rsidR="001E099F" w:rsidRPr="00A9330F" w:rsidRDefault="001E099F" w:rsidP="005E2977">
            <w:pPr>
              <w:pStyle w:val="a6"/>
              <w:spacing w:line="360" w:lineRule="auto"/>
              <w:ind w:left="780" w:firstLineChars="0" w:firstLine="0"/>
            </w:pPr>
          </w:p>
        </w:tc>
      </w:tr>
    </w:tbl>
    <w:p w:rsidR="00E30BC9" w:rsidRDefault="00E30BC9"/>
    <w:sectPr w:rsidR="00E30BC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8A8" w:rsidRDefault="00AF08A8" w:rsidP="00E30BC9">
      <w:r>
        <w:separator/>
      </w:r>
    </w:p>
  </w:endnote>
  <w:endnote w:type="continuationSeparator" w:id="0">
    <w:p w:rsidR="00AF08A8" w:rsidRDefault="00AF08A8" w:rsidP="00E3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6069584"/>
      <w:docPartObj>
        <w:docPartGallery w:val="Page Numbers (Bottom of Page)"/>
        <w:docPartUnique/>
      </w:docPartObj>
    </w:sdtPr>
    <w:sdtEndPr/>
    <w:sdtContent>
      <w:p w:rsidR="00341667" w:rsidRDefault="00341667" w:rsidP="003416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7F8" w:rsidRPr="001E07F8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8A8" w:rsidRDefault="00AF08A8" w:rsidP="00E30BC9">
      <w:r>
        <w:separator/>
      </w:r>
    </w:p>
  </w:footnote>
  <w:footnote w:type="continuationSeparator" w:id="0">
    <w:p w:rsidR="00AF08A8" w:rsidRDefault="00AF08A8" w:rsidP="00E30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76FC3"/>
    <w:multiLevelType w:val="hybridMultilevel"/>
    <w:tmpl w:val="6106812C"/>
    <w:lvl w:ilvl="0" w:tplc="2DCC75A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CF01EEA"/>
    <w:multiLevelType w:val="hybridMultilevel"/>
    <w:tmpl w:val="63C84ABE"/>
    <w:lvl w:ilvl="0" w:tplc="FE1884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45"/>
    <w:rsid w:val="00001D44"/>
    <w:rsid w:val="00055767"/>
    <w:rsid w:val="000972CE"/>
    <w:rsid w:val="000F5ED0"/>
    <w:rsid w:val="001E07F8"/>
    <w:rsid w:val="001E099F"/>
    <w:rsid w:val="002470DA"/>
    <w:rsid w:val="00341667"/>
    <w:rsid w:val="00505616"/>
    <w:rsid w:val="005E2977"/>
    <w:rsid w:val="00600FC6"/>
    <w:rsid w:val="00750445"/>
    <w:rsid w:val="00805FCB"/>
    <w:rsid w:val="008C387D"/>
    <w:rsid w:val="00A9330F"/>
    <w:rsid w:val="00AF08A8"/>
    <w:rsid w:val="00BA4C22"/>
    <w:rsid w:val="00C45F6E"/>
    <w:rsid w:val="00D642F5"/>
    <w:rsid w:val="00DE732C"/>
    <w:rsid w:val="00E2028E"/>
    <w:rsid w:val="00E30BC9"/>
    <w:rsid w:val="00FA451C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13F892-BB3F-4BC2-B317-D894C063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0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0B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0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0BC9"/>
    <w:rPr>
      <w:sz w:val="18"/>
      <w:szCs w:val="18"/>
    </w:rPr>
  </w:style>
  <w:style w:type="table" w:styleId="a5">
    <w:name w:val="Table Grid"/>
    <w:basedOn w:val="a1"/>
    <w:uiPriority w:val="39"/>
    <w:rsid w:val="000F5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F5E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11</cp:revision>
  <dcterms:created xsi:type="dcterms:W3CDTF">2021-08-31T13:26:00Z</dcterms:created>
  <dcterms:modified xsi:type="dcterms:W3CDTF">2021-09-08T04:39:00Z</dcterms:modified>
</cp:coreProperties>
</file>